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15" w:rsidRPr="00904695" w:rsidRDefault="005A4D15" w:rsidP="005A4D15">
      <w:pPr>
        <w:tabs>
          <w:tab w:val="left" w:pos="7725"/>
        </w:tabs>
        <w:jc w:val="right"/>
        <w:rPr>
          <w:rFonts w:ascii="Times New Roman" w:hAnsi="Times New Roman"/>
          <w:sz w:val="24"/>
          <w:szCs w:val="24"/>
        </w:rPr>
      </w:pPr>
      <w:r>
        <w:tab/>
      </w:r>
      <w:r w:rsidRPr="00904695">
        <w:rPr>
          <w:rFonts w:ascii="Times New Roman" w:hAnsi="Times New Roman"/>
          <w:sz w:val="24"/>
          <w:szCs w:val="24"/>
        </w:rPr>
        <w:t>Приложение 1</w:t>
      </w:r>
    </w:p>
    <w:p w:rsidR="00904695" w:rsidRPr="00904695" w:rsidRDefault="00904695" w:rsidP="00904695">
      <w:pPr>
        <w:tabs>
          <w:tab w:val="left" w:pos="7725"/>
        </w:tabs>
        <w:spacing w:after="0"/>
        <w:ind w:left="3261" w:firstLine="7654"/>
        <w:rPr>
          <w:rFonts w:ascii="Times New Roman" w:hAnsi="Times New Roman"/>
          <w:sz w:val="24"/>
          <w:szCs w:val="24"/>
        </w:rPr>
      </w:pPr>
      <w:r w:rsidRPr="00904695">
        <w:rPr>
          <w:rFonts w:ascii="Times New Roman" w:hAnsi="Times New Roman"/>
          <w:sz w:val="24"/>
          <w:szCs w:val="24"/>
        </w:rPr>
        <w:t>к протоколу заседания управляющего</w:t>
      </w:r>
    </w:p>
    <w:p w:rsidR="00904695" w:rsidRPr="00904695" w:rsidRDefault="00904695" w:rsidP="00904695">
      <w:pPr>
        <w:tabs>
          <w:tab w:val="left" w:pos="7725"/>
        </w:tabs>
        <w:spacing w:after="0"/>
        <w:ind w:left="3261" w:firstLine="7654"/>
        <w:rPr>
          <w:rFonts w:ascii="Times New Roman" w:hAnsi="Times New Roman"/>
          <w:sz w:val="24"/>
          <w:szCs w:val="24"/>
        </w:rPr>
      </w:pPr>
      <w:r w:rsidRPr="00904695">
        <w:rPr>
          <w:rFonts w:ascii="Times New Roman" w:hAnsi="Times New Roman"/>
          <w:sz w:val="24"/>
          <w:szCs w:val="24"/>
        </w:rPr>
        <w:t>совета государственной программы</w:t>
      </w:r>
    </w:p>
    <w:p w:rsidR="00904695" w:rsidRPr="00904695" w:rsidRDefault="00904695" w:rsidP="00904695">
      <w:pPr>
        <w:tabs>
          <w:tab w:val="left" w:pos="7725"/>
        </w:tabs>
        <w:spacing w:after="0"/>
        <w:ind w:left="3261" w:firstLine="7654"/>
        <w:rPr>
          <w:rFonts w:ascii="Times New Roman" w:hAnsi="Times New Roman"/>
          <w:sz w:val="24"/>
          <w:szCs w:val="24"/>
        </w:rPr>
      </w:pPr>
      <w:r w:rsidRPr="00904695">
        <w:rPr>
          <w:rFonts w:ascii="Times New Roman" w:hAnsi="Times New Roman"/>
          <w:sz w:val="24"/>
          <w:szCs w:val="24"/>
        </w:rPr>
        <w:t>Карачаево-Черкесской Республики</w:t>
      </w:r>
    </w:p>
    <w:p w:rsidR="00904695" w:rsidRPr="00904695" w:rsidRDefault="00904695" w:rsidP="00904695">
      <w:pPr>
        <w:tabs>
          <w:tab w:val="left" w:pos="7725"/>
        </w:tabs>
        <w:spacing w:after="0"/>
        <w:ind w:left="3261" w:firstLine="7654"/>
        <w:rPr>
          <w:rFonts w:ascii="Times New Roman" w:hAnsi="Times New Roman"/>
          <w:sz w:val="24"/>
          <w:szCs w:val="24"/>
        </w:rPr>
      </w:pPr>
      <w:r w:rsidRPr="00904695">
        <w:rPr>
          <w:rFonts w:ascii="Times New Roman" w:hAnsi="Times New Roman"/>
          <w:sz w:val="24"/>
          <w:szCs w:val="24"/>
        </w:rPr>
        <w:t>«Развитие цифровой экономики</w:t>
      </w:r>
    </w:p>
    <w:p w:rsidR="00904695" w:rsidRPr="00904695" w:rsidRDefault="00904695" w:rsidP="00904695">
      <w:pPr>
        <w:tabs>
          <w:tab w:val="left" w:pos="7725"/>
        </w:tabs>
        <w:spacing w:after="0"/>
        <w:ind w:left="3261" w:firstLine="7654"/>
        <w:rPr>
          <w:rFonts w:ascii="Times New Roman" w:hAnsi="Times New Roman"/>
          <w:sz w:val="24"/>
          <w:szCs w:val="24"/>
        </w:rPr>
      </w:pPr>
      <w:r w:rsidRPr="00904695">
        <w:rPr>
          <w:rFonts w:ascii="Times New Roman" w:hAnsi="Times New Roman"/>
          <w:sz w:val="24"/>
          <w:szCs w:val="24"/>
        </w:rPr>
        <w:t>Карачаево-Черкесской Республики»</w:t>
      </w:r>
    </w:p>
    <w:p w:rsidR="00904695" w:rsidRDefault="00904695" w:rsidP="00904695">
      <w:pPr>
        <w:tabs>
          <w:tab w:val="left" w:pos="7725"/>
        </w:tabs>
        <w:spacing w:after="0"/>
        <w:ind w:left="3261" w:firstLine="7654"/>
        <w:rPr>
          <w:rFonts w:ascii="Times New Roman" w:hAnsi="Times New Roman"/>
          <w:sz w:val="24"/>
          <w:szCs w:val="24"/>
        </w:rPr>
      </w:pPr>
      <w:r w:rsidRPr="00904695">
        <w:rPr>
          <w:rFonts w:ascii="Times New Roman" w:hAnsi="Times New Roman"/>
          <w:sz w:val="24"/>
          <w:szCs w:val="24"/>
        </w:rPr>
        <w:t xml:space="preserve">от </w:t>
      </w:r>
      <w:r w:rsidR="009C0C12">
        <w:rPr>
          <w:rFonts w:ascii="Times New Roman" w:hAnsi="Times New Roman"/>
          <w:sz w:val="24"/>
          <w:szCs w:val="24"/>
        </w:rPr>
        <w:t xml:space="preserve">30.07.2024 </w:t>
      </w:r>
      <w:r w:rsidRPr="00904695">
        <w:rPr>
          <w:rFonts w:ascii="Times New Roman" w:hAnsi="Times New Roman"/>
          <w:sz w:val="24"/>
          <w:szCs w:val="24"/>
        </w:rPr>
        <w:t>№</w:t>
      </w:r>
      <w:r w:rsidR="009C0C12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904695" w:rsidRPr="00904695" w:rsidRDefault="00904695" w:rsidP="00904695">
      <w:pPr>
        <w:tabs>
          <w:tab w:val="left" w:pos="7725"/>
        </w:tabs>
        <w:spacing w:after="0"/>
        <w:ind w:left="3261" w:firstLine="765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"/>
        <w:gridCol w:w="516"/>
        <w:gridCol w:w="1548"/>
        <w:gridCol w:w="906"/>
        <w:gridCol w:w="906"/>
        <w:gridCol w:w="906"/>
        <w:gridCol w:w="906"/>
        <w:gridCol w:w="907"/>
        <w:gridCol w:w="839"/>
        <w:gridCol w:w="67"/>
        <w:gridCol w:w="906"/>
        <w:gridCol w:w="906"/>
        <w:gridCol w:w="906"/>
        <w:gridCol w:w="906"/>
        <w:gridCol w:w="906"/>
        <w:gridCol w:w="910"/>
        <w:gridCol w:w="906"/>
        <w:gridCol w:w="906"/>
        <w:gridCol w:w="13"/>
        <w:gridCol w:w="56"/>
      </w:tblGrid>
      <w:tr w:rsidR="00906FBD" w:rsidTr="005A4D15">
        <w:trPr>
          <w:trHeight w:val="948"/>
          <w:tblHeader/>
        </w:trPr>
        <w:tc>
          <w:tcPr>
            <w:tcW w:w="1485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Паспорт</w:t>
            </w:r>
          </w:p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комплекса процессных мероприятий </w:t>
            </w:r>
          </w:p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«Обеспечение деятельности подведомственного автономного учреждения»</w:t>
            </w:r>
          </w:p>
        </w:tc>
      </w:tr>
      <w:tr w:rsidR="00906FBD" w:rsidTr="005A4D15">
        <w:trPr>
          <w:trHeight w:val="613"/>
          <w:tblHeader/>
        </w:trPr>
        <w:tc>
          <w:tcPr>
            <w:tcW w:w="1485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 Общие положения</w:t>
            </w:r>
          </w:p>
        </w:tc>
      </w:tr>
      <w:tr w:rsidR="00311563" w:rsidTr="005A4D15">
        <w:trPr>
          <w:trHeight w:val="571"/>
        </w:trPr>
        <w:tc>
          <w:tcPr>
            <w:tcW w:w="74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Исполнительный орган государственной власти Карачаево-Черкесской Республики (иной государственный орган, организация)</w:t>
            </w:r>
          </w:p>
        </w:tc>
        <w:tc>
          <w:tcPr>
            <w:tcW w:w="73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цифрового развития Карачаево-Черкесской Республики (Грибкин А.В. заместитель Министра цифрового развития КЧР)</w:t>
            </w:r>
          </w:p>
        </w:tc>
      </w:tr>
      <w:tr w:rsidR="00311563" w:rsidTr="005A4D15">
        <w:trPr>
          <w:trHeight w:val="361"/>
        </w:trPr>
        <w:tc>
          <w:tcPr>
            <w:tcW w:w="74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Связь с государственной программой </w:t>
            </w:r>
          </w:p>
        </w:tc>
        <w:tc>
          <w:tcPr>
            <w:tcW w:w="73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цифровой экономики Карачаево-Черкесской Республики»</w:t>
            </w:r>
          </w:p>
        </w:tc>
      </w:tr>
      <w:tr w:rsidR="00906FBD" w:rsidTr="005A4D15">
        <w:trPr>
          <w:gridBefore w:val="1"/>
          <w:gridAfter w:val="1"/>
          <w:wBefore w:w="30" w:type="dxa"/>
          <w:wAfter w:w="56" w:type="dxa"/>
          <w:trHeight w:val="680"/>
        </w:trPr>
        <w:tc>
          <w:tcPr>
            <w:tcW w:w="1476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4D15" w:rsidRDefault="005A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2. Показатели комплекса процессных мероприятий</w:t>
            </w:r>
          </w:p>
        </w:tc>
      </w:tr>
      <w:tr w:rsidR="00906FBD" w:rsidTr="005A4D15">
        <w:trPr>
          <w:gridBefore w:val="1"/>
          <w:gridAfter w:val="2"/>
          <w:wBefore w:w="30" w:type="dxa"/>
          <w:wAfter w:w="69" w:type="dxa"/>
          <w:trHeight w:val="293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6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Значения показателей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система</w:t>
            </w:r>
          </w:p>
        </w:tc>
      </w:tr>
      <w:tr w:rsidR="00311563" w:rsidTr="005A4D15">
        <w:trPr>
          <w:gridBefore w:val="1"/>
          <w:gridAfter w:val="2"/>
          <w:wBefore w:w="30" w:type="dxa"/>
          <w:wAfter w:w="69" w:type="dxa"/>
          <w:trHeight w:val="293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563" w:rsidTr="005A4D15">
        <w:trPr>
          <w:gridBefore w:val="1"/>
          <w:gridAfter w:val="2"/>
          <w:wBefore w:w="30" w:type="dxa"/>
          <w:wAfter w:w="69" w:type="dxa"/>
          <w:trHeight w:val="29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906FBD" w:rsidTr="005A4D15">
        <w:trPr>
          <w:gridBefore w:val="1"/>
          <w:gridAfter w:val="1"/>
          <w:wBefore w:w="30" w:type="dxa"/>
          <w:wAfter w:w="56" w:type="dxa"/>
          <w:trHeight w:val="29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комплекса процессных мероприятий «Обеспечение своевременности и полноты осуществления функций Республики»</w:t>
            </w:r>
          </w:p>
        </w:tc>
      </w:tr>
      <w:tr w:rsidR="00311563" w:rsidTr="005A4D15">
        <w:trPr>
          <w:gridBefore w:val="1"/>
          <w:gridAfter w:val="2"/>
          <w:wBefore w:w="30" w:type="dxa"/>
          <w:wAfter w:w="69" w:type="dxa"/>
          <w:trHeight w:val="29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своевременности и полноты осуществления функций Республики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отклонений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цифрового развития Карачаево-Черкесской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Республики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1563" w:rsidRDefault="00311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lastRenderedPageBreak/>
        <w:br/>
      </w:r>
      <w:r>
        <w:rPr>
          <w:rFonts w:ascii="Arial" w:hAnsi="Arial" w:cs="Arial"/>
          <w:sz w:val="10"/>
          <w:szCs w:val="10"/>
        </w:rPr>
        <w:br/>
      </w:r>
    </w:p>
    <w:p w:rsidR="00311563" w:rsidRDefault="00311563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1563" w:rsidRDefault="00311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486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571"/>
        <w:gridCol w:w="1676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18"/>
        <w:gridCol w:w="856"/>
      </w:tblGrid>
      <w:tr w:rsidR="00906FBD" w:rsidTr="005A4D15">
        <w:trPr>
          <w:trHeight w:val="400"/>
        </w:trPr>
        <w:tc>
          <w:tcPr>
            <w:tcW w:w="1486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 xml:space="preserve"> 3.</w:t>
            </w:r>
            <w:r>
              <w:rPr>
                <w:rFonts w:ascii="Times New Roman" w:hAnsi="Times New Roman"/>
                <w:color w:val="000000"/>
              </w:rPr>
              <w:tab/>
              <w:t>План достижения показателей государственной программы (комплексной программы) Карачаево-Черкесской Республики в 2024 году</w:t>
            </w:r>
          </w:p>
        </w:tc>
      </w:tr>
      <w:tr w:rsidR="00906FBD" w:rsidTr="005A4D15">
        <w:trPr>
          <w:trHeight w:val="443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Цели/показатели государственной программы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(по ОКЕИ)</w:t>
            </w:r>
          </w:p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7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конец 2024 года</w:t>
            </w:r>
          </w:p>
        </w:tc>
      </w:tr>
      <w:tr w:rsidR="00311563" w:rsidTr="005A4D15">
        <w:trPr>
          <w:trHeight w:val="1010"/>
        </w:trPr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6FBD" w:rsidTr="005A4D15">
        <w:trPr>
          <w:trHeight w:val="443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комплекса процессных мероприятий «Обеспечение своевременности и полноты осуществления функций Республики»</w:t>
            </w:r>
          </w:p>
        </w:tc>
      </w:tr>
      <w:tr w:rsidR="00311563" w:rsidTr="005A4D15">
        <w:trPr>
          <w:trHeight w:val="443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своевременности и полноты осуществления функций Республики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11563" w:rsidRDefault="00311563" w:rsidP="005A4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1563" w:rsidRDefault="00311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549"/>
        <w:gridCol w:w="2022"/>
        <w:gridCol w:w="1221"/>
        <w:gridCol w:w="1180"/>
        <w:gridCol w:w="965"/>
        <w:gridCol w:w="965"/>
        <w:gridCol w:w="966"/>
        <w:gridCol w:w="965"/>
        <w:gridCol w:w="965"/>
        <w:gridCol w:w="965"/>
        <w:gridCol w:w="965"/>
        <w:gridCol w:w="965"/>
        <w:gridCol w:w="965"/>
        <w:gridCol w:w="969"/>
        <w:gridCol w:w="9"/>
      </w:tblGrid>
      <w:tr w:rsidR="00906FBD" w:rsidTr="005A4D15">
        <w:trPr>
          <w:trHeight w:val="535"/>
        </w:trPr>
        <w:tc>
          <w:tcPr>
            <w:tcW w:w="1463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>4. Перечень мероприятий (результатов) комплекса процессных мероприятий</w:t>
            </w:r>
          </w:p>
        </w:tc>
      </w:tr>
      <w:tr w:rsidR="00906FBD" w:rsidTr="00F4707E">
        <w:trPr>
          <w:trHeight w:val="719"/>
        </w:trPr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67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311563" w:rsidTr="00F4707E">
        <w:trPr>
          <w:gridAfter w:val="1"/>
          <w:wAfter w:w="9" w:type="dxa"/>
          <w:trHeight w:val="719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</w:tr>
      <w:tr w:rsidR="00311563" w:rsidTr="00F4707E">
        <w:trPr>
          <w:gridAfter w:val="1"/>
          <w:wAfter w:w="9" w:type="dxa"/>
          <w:trHeight w:val="719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</w:tbl>
    <w:p w:rsidR="00311563" w:rsidRDefault="00311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1563" w:rsidRDefault="00311563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40"/>
        <w:gridCol w:w="1225"/>
        <w:gridCol w:w="1244"/>
        <w:gridCol w:w="1244"/>
        <w:gridCol w:w="1244"/>
        <w:gridCol w:w="1244"/>
        <w:gridCol w:w="1244"/>
        <w:gridCol w:w="1244"/>
        <w:gridCol w:w="1244"/>
        <w:gridCol w:w="1336"/>
      </w:tblGrid>
      <w:tr w:rsidR="00906FBD" w:rsidTr="005A4D15">
        <w:trPr>
          <w:trHeight w:val="428"/>
        </w:trPr>
        <w:tc>
          <w:tcPr>
            <w:tcW w:w="1450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5. Финансовое обеспечение комплекса процессных мероприятий</w:t>
            </w:r>
          </w:p>
        </w:tc>
      </w:tr>
      <w:tr w:rsidR="00906FBD" w:rsidTr="005A4D15">
        <w:trPr>
          <w:trHeight w:val="1603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ГРБС/КБК</w:t>
            </w:r>
          </w:p>
        </w:tc>
        <w:tc>
          <w:tcPr>
            <w:tcW w:w="10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финансового обеспечения по годам реализации, тыс. руб.</w:t>
            </w:r>
          </w:p>
        </w:tc>
      </w:tr>
      <w:tr w:rsidR="00311563" w:rsidTr="005A4D15">
        <w:trPr>
          <w:trHeight w:val="1603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ГРБС/КБК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Всего:</w:t>
            </w:r>
          </w:p>
        </w:tc>
      </w:tr>
      <w:tr w:rsidR="00311563" w:rsidTr="005A4D15">
        <w:trPr>
          <w:trHeight w:val="559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311563" w:rsidTr="005A4D15">
        <w:trPr>
          <w:trHeight w:val="46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Комплекс процессных мероприятий Обеспечение деятельности подведомственного автономного учреждения (всего), в том числе: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2440300000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  <w:tr w:rsidR="00311563" w:rsidTr="005A4D15">
        <w:trPr>
          <w:trHeight w:val="46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  <w:tr w:rsidR="00311563" w:rsidTr="005A4D15">
        <w:trPr>
          <w:trHeight w:val="46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субъекта Российской Федерации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  <w:tr w:rsidR="00311563" w:rsidTr="005A4D15">
        <w:trPr>
          <w:trHeight w:val="46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Мероприятие (результат) Обеспечено финансовое выполнений функций республиканского государственного автономного учреждения Карачаево-Черкесской Республики «Центр развития связи и коммуникаций» (всего), в том числе: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2440300000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  <w:tr w:rsidR="00311563" w:rsidTr="005A4D15">
        <w:trPr>
          <w:trHeight w:val="46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  <w:tr w:rsidR="00311563" w:rsidTr="005A4D15">
        <w:trPr>
          <w:trHeight w:val="46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субъекта Российской Федерации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3" w:rsidRDefault="0031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</w:tbl>
    <w:p w:rsidR="005A4D15" w:rsidRDefault="005A4D15"/>
    <w:p w:rsidR="005A4D15" w:rsidRPr="005A4D15" w:rsidRDefault="005A4D15" w:rsidP="005A4D15">
      <w:pPr>
        <w:tabs>
          <w:tab w:val="left" w:pos="12630"/>
        </w:tabs>
        <w:rPr>
          <w:rFonts w:ascii="Times New Roman" w:hAnsi="Times New Roman"/>
          <w:sz w:val="24"/>
          <w:szCs w:val="24"/>
        </w:rPr>
      </w:pPr>
      <w:r w:rsidRPr="005A4D15">
        <w:rPr>
          <w:rFonts w:ascii="Times New Roman" w:hAnsi="Times New Roman"/>
          <w:sz w:val="24"/>
          <w:szCs w:val="24"/>
        </w:rPr>
        <w:t>Министр цифрового развития Карачаево-Черкесской Республики</w:t>
      </w:r>
      <w:r w:rsidRPr="005A4D15">
        <w:rPr>
          <w:rFonts w:ascii="Times New Roman" w:hAnsi="Times New Roman"/>
          <w:sz w:val="24"/>
          <w:szCs w:val="24"/>
        </w:rPr>
        <w:tab/>
        <w:t>В.В. Медовый</w:t>
      </w:r>
    </w:p>
    <w:sectPr w:rsidR="005A4D15" w:rsidRPr="005A4D15" w:rsidSect="005A4D15">
      <w:footerReference w:type="default" r:id="rId6"/>
      <w:pgSz w:w="16838" w:h="11906" w:orient="landscape" w:code="9"/>
      <w:pgMar w:top="709" w:right="850" w:bottom="1134" w:left="113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A6" w:rsidRDefault="001A14A6">
      <w:pPr>
        <w:spacing w:after="0" w:line="240" w:lineRule="auto"/>
      </w:pPr>
      <w:r>
        <w:separator/>
      </w:r>
    </w:p>
  </w:endnote>
  <w:endnote w:type="continuationSeparator" w:id="0">
    <w:p w:rsidR="001A14A6" w:rsidRDefault="001A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63" w:rsidRDefault="00311563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0"/>
        <w:szCs w:val="20"/>
      </w:rPr>
      <w:fldChar w:fldCharType="begin"/>
    </w:r>
    <w:r>
      <w:rPr>
        <w:rFonts w:ascii="Times New Roman" w:hAnsi="Times New Roman"/>
        <w:color w:val="000000"/>
        <w:sz w:val="20"/>
        <w:szCs w:val="20"/>
      </w:rPr>
      <w:instrText>PAGE</w:instrText>
    </w:r>
    <w:r>
      <w:rPr>
        <w:rFonts w:ascii="Times New Roman" w:hAnsi="Times New Roman"/>
        <w:color w:val="000000"/>
        <w:sz w:val="20"/>
        <w:szCs w:val="20"/>
      </w:rPr>
      <w:fldChar w:fldCharType="separate"/>
    </w:r>
    <w:r w:rsidR="009C0C12">
      <w:rPr>
        <w:rFonts w:ascii="Times New Roman" w:hAnsi="Times New Roman"/>
        <w:noProof/>
        <w:color w:val="000000"/>
        <w:sz w:val="20"/>
        <w:szCs w:val="20"/>
      </w:rPr>
      <w:t>1</w:t>
    </w:r>
    <w:r>
      <w:rPr>
        <w:rFonts w:ascii="Times New Roman" w:hAnsi="Times New Roman"/>
        <w:color w:val="000000"/>
        <w:sz w:val="20"/>
        <w:szCs w:val="20"/>
      </w:rPr>
      <w:fldChar w:fldCharType="end"/>
    </w:r>
    <w:r>
      <w:rPr>
        <w:rFonts w:ascii="Times New Roman" w:hAnsi="Times New Roman"/>
        <w:color w:val="000000"/>
        <w:sz w:val="20"/>
        <w:szCs w:val="20"/>
      </w:rPr>
      <w:t xml:space="preserve"> из </w:t>
    </w:r>
    <w:r>
      <w:rPr>
        <w:rFonts w:ascii="Times New Roman" w:hAnsi="Times New Roman"/>
        <w:color w:val="000000"/>
        <w:sz w:val="20"/>
        <w:szCs w:val="20"/>
      </w:rPr>
      <w:fldChar w:fldCharType="begin"/>
    </w:r>
    <w:r>
      <w:rPr>
        <w:rFonts w:ascii="Times New Roman" w:hAnsi="Times New Roman"/>
        <w:color w:val="000000"/>
        <w:sz w:val="20"/>
        <w:szCs w:val="20"/>
      </w:rPr>
      <w:instrText>NUMPAGES</w:instrText>
    </w:r>
    <w:r>
      <w:rPr>
        <w:rFonts w:ascii="Times New Roman" w:hAnsi="Times New Roman"/>
        <w:color w:val="000000"/>
        <w:sz w:val="20"/>
        <w:szCs w:val="20"/>
      </w:rPr>
      <w:fldChar w:fldCharType="separate"/>
    </w:r>
    <w:r w:rsidR="009C0C12">
      <w:rPr>
        <w:rFonts w:ascii="Times New Roman" w:hAnsi="Times New Roman"/>
        <w:noProof/>
        <w:color w:val="000000"/>
        <w:sz w:val="20"/>
        <w:szCs w:val="20"/>
      </w:rPr>
      <w:t>4</w:t>
    </w:r>
    <w:r>
      <w:rPr>
        <w:rFonts w:ascii="Times New Roman" w:hAnsi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A6" w:rsidRDefault="001A14A6">
      <w:pPr>
        <w:spacing w:after="0" w:line="240" w:lineRule="auto"/>
      </w:pPr>
      <w:r>
        <w:separator/>
      </w:r>
    </w:p>
  </w:footnote>
  <w:footnote w:type="continuationSeparator" w:id="0">
    <w:p w:rsidR="001A14A6" w:rsidRDefault="001A1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BD"/>
    <w:rsid w:val="001A14A6"/>
    <w:rsid w:val="00311563"/>
    <w:rsid w:val="00354AAD"/>
    <w:rsid w:val="005A4D15"/>
    <w:rsid w:val="00904695"/>
    <w:rsid w:val="00906FBD"/>
    <w:rsid w:val="009C0C12"/>
    <w:rsid w:val="00B10C76"/>
    <w:rsid w:val="00CC5A5E"/>
    <w:rsid w:val="00E333A9"/>
    <w:rsid w:val="00F4707E"/>
    <w:rsid w:val="00F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96813"/>
  <w14:defaultImageDpi w14:val="0"/>
  <w15:docId w15:val="{11BC80D1-8C68-49F7-94AB-0FB2CC44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cp:keywords/>
  <dc:description/>
  <cp:lastModifiedBy>Лучший сотрудник</cp:lastModifiedBy>
  <cp:revision>9</cp:revision>
  <dcterms:created xsi:type="dcterms:W3CDTF">2024-07-30T07:13:00Z</dcterms:created>
  <dcterms:modified xsi:type="dcterms:W3CDTF">2024-08-02T11:13:00Z</dcterms:modified>
</cp:coreProperties>
</file>