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ind w:left="6237" w:hanging="0"/>
        <w:outlineLvl w:val="0"/>
        <w:rPr/>
      </w:pPr>
      <w:r>
        <w:rPr/>
        <w:t xml:space="preserve">Приложение к </w:t>
      </w:r>
    </w:p>
    <w:p>
      <w:pPr>
        <w:pStyle w:val="ConsPlusNormal"/>
        <w:ind w:left="6237" w:hanging="0"/>
        <w:rPr/>
      </w:pPr>
      <w:r>
        <w:rPr/>
        <w:t>постановлению Правительства</w:t>
      </w:r>
    </w:p>
    <w:p>
      <w:pPr>
        <w:pStyle w:val="ConsPlusNormal"/>
        <w:ind w:left="6237" w:hanging="0"/>
        <w:rPr/>
      </w:pPr>
      <w:r>
        <w:rPr/>
        <w:t>Карачаево-Черкесской Республики</w:t>
      </w:r>
    </w:p>
    <w:p>
      <w:pPr>
        <w:pStyle w:val="ConsPlusNormal"/>
        <w:ind w:left="6237" w:hanging="0"/>
        <w:rPr/>
      </w:pPr>
      <w:r>
        <w:rPr/>
        <w:t>от «___»__________ 2026 г. № ____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left="6237" w:hanging="0"/>
        <w:rPr/>
      </w:pPr>
      <w:r>
        <w:rPr/>
      </w:r>
    </w:p>
    <w:p>
      <w:pPr>
        <w:pStyle w:val="ConsPlusTitle"/>
        <w:spacing w:lineRule="auto" w:line="276"/>
        <w:jc w:val="center"/>
        <w:rPr>
          <w:b w:val="false"/>
          <w:b w:val="false"/>
          <w:bCs w:val="false"/>
        </w:rPr>
      </w:pPr>
      <w:bookmarkStart w:id="0" w:name="Par27"/>
      <w:bookmarkEnd w:id="0"/>
      <w:r>
        <w:rPr>
          <w:rFonts w:cs="Times New Roman" w:ascii="Times New Roman" w:hAnsi="Times New Roman"/>
          <w:b w:val="false"/>
          <w:bCs w:val="false"/>
        </w:rPr>
        <w:t>ПОЛОЖЕНИЕ</w:t>
      </w:r>
    </w:p>
    <w:p>
      <w:pPr>
        <w:pStyle w:val="ConsPlusTitle"/>
        <w:spacing w:lineRule="auto" w:line="276"/>
        <w:jc w:val="center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О региональной системе межведомственного взаимодействия «Система электронного правительства Карачаево-Черкесской Республики» Министерства цифрового развития Карачаево-Черкесской Республики» </w:t>
      </w:r>
    </w:p>
    <w:p>
      <w:pPr>
        <w:pStyle w:val="ConsPlusTitle"/>
        <w:spacing w:lineRule="auto" w:line="276"/>
        <w:jc w:val="center"/>
        <w:rPr/>
      </w:pPr>
      <w:r>
        <w:rPr/>
      </w:r>
    </w:p>
    <w:p>
      <w:pPr>
        <w:pStyle w:val="ConsPlusTitle"/>
        <w:spacing w:lineRule="auto" w:line="276"/>
        <w:jc w:val="center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lang w:val="en-US"/>
        </w:rPr>
        <w:t>I</w:t>
      </w:r>
      <w:r>
        <w:rPr>
          <w:rFonts w:cs="Times New Roman" w:ascii="Times New Roman" w:hAnsi="Times New Roman"/>
          <w:b w:val="false"/>
          <w:bCs w:val="false"/>
        </w:rPr>
        <w:t>. Общие положения</w:t>
      </w:r>
    </w:p>
    <w:p>
      <w:pPr>
        <w:pStyle w:val="ConsPlusNormal"/>
        <w:widowControl w:val="false"/>
        <w:numPr>
          <w:ilvl w:val="0"/>
          <w:numId w:val="0"/>
        </w:numPr>
        <w:tabs>
          <w:tab w:val="clear" w:pos="708"/>
          <w:tab w:val="left" w:pos="735" w:leader="none"/>
          <w:tab w:val="left" w:pos="1134" w:leader="none"/>
        </w:tabs>
        <w:suppressAutoHyphens w:val="true"/>
        <w:bidi w:val="0"/>
        <w:spacing w:lineRule="auto" w:line="276" w:before="0" w:after="0"/>
        <w:ind w:right="0" w:hanging="0"/>
        <w:jc w:val="both"/>
        <w:rPr/>
      </w:pPr>
      <w:r>
        <w:rPr/>
        <w:tab/>
        <w:t>1.1. Настоящее Положение о региональной системе межведомственного электронного взаимодействия Карачаево-Черкесской Республики (далее – Положение) определяет:</w:t>
      </w:r>
    </w:p>
    <w:p>
      <w:pPr>
        <w:pStyle w:val="ConsPlusNormal"/>
        <w:widowControl w:val="false"/>
        <w:numPr>
          <w:ilvl w:val="2"/>
          <w:numId w:val="7"/>
        </w:numPr>
        <w:tabs>
          <w:tab w:val="clear" w:pos="708"/>
          <w:tab w:val="left" w:pos="851" w:leader="none"/>
        </w:tabs>
        <w:bidi w:val="0"/>
        <w:spacing w:lineRule="auto" w:line="276" w:before="0" w:after="0"/>
        <w:ind w:left="0" w:right="0" w:firstLine="709"/>
        <w:jc w:val="both"/>
        <w:rPr/>
      </w:pPr>
      <w:r>
        <w:rPr/>
        <w:t>Назначение, правила формирования и функционирования региональной системы межведомственного электронного взаимодействия Карачаево-Черкесской Республики (далее – СЭП КЧР) в целях предоставления государственных и муниципальных услуг и исполнения государственных и муниципальных функций в электронной форме на территории Карачаево-Черкесской Республики;</w:t>
      </w:r>
    </w:p>
    <w:p>
      <w:pPr>
        <w:pStyle w:val="ConsPlusNormal"/>
        <w:numPr>
          <w:ilvl w:val="2"/>
          <w:numId w:val="7"/>
        </w:numPr>
        <w:tabs>
          <w:tab w:val="clear" w:pos="708"/>
          <w:tab w:val="left" w:pos="851" w:leader="none"/>
        </w:tabs>
        <w:spacing w:lineRule="auto" w:line="276"/>
        <w:ind w:left="0" w:right="0" w:firstLine="709"/>
        <w:jc w:val="both"/>
        <w:rPr/>
      </w:pPr>
      <w:r>
        <w:rPr/>
        <w:t>Цели, задачи и функции СЭП КЧР;</w:t>
      </w:r>
    </w:p>
    <w:p>
      <w:pPr>
        <w:pStyle w:val="ConsPlusNormal"/>
        <w:numPr>
          <w:ilvl w:val="2"/>
          <w:numId w:val="7"/>
        </w:numPr>
        <w:tabs>
          <w:tab w:val="clear" w:pos="708"/>
          <w:tab w:val="left" w:pos="851" w:leader="none"/>
        </w:tabs>
        <w:spacing w:lineRule="auto" w:line="276"/>
        <w:ind w:left="0" w:right="0" w:firstLine="709"/>
        <w:jc w:val="both"/>
        <w:rPr/>
      </w:pPr>
      <w:r>
        <w:rPr/>
        <w:t>Участников СЭП КЧР, их права и обязанности;</w:t>
      </w:r>
    </w:p>
    <w:p>
      <w:pPr>
        <w:pStyle w:val="ConsPlusNormal"/>
        <w:numPr>
          <w:ilvl w:val="2"/>
          <w:numId w:val="7"/>
        </w:numPr>
        <w:tabs>
          <w:tab w:val="clear" w:pos="708"/>
          <w:tab w:val="left" w:pos="851" w:leader="none"/>
        </w:tabs>
        <w:spacing w:lineRule="auto" w:line="276"/>
        <w:ind w:left="0" w:right="0" w:firstLine="709"/>
        <w:jc w:val="both"/>
        <w:rPr/>
      </w:pPr>
      <w:r>
        <w:rPr/>
        <w:t>Сведения, включаемые в СЭП КЧР;</w:t>
      </w:r>
    </w:p>
    <w:p>
      <w:pPr>
        <w:pStyle w:val="ConsPlusNormal"/>
        <w:numPr>
          <w:ilvl w:val="2"/>
          <w:numId w:val="7"/>
        </w:numPr>
        <w:tabs>
          <w:tab w:val="clear" w:pos="708"/>
          <w:tab w:val="left" w:pos="851" w:leader="none"/>
        </w:tabs>
        <w:spacing w:lineRule="auto" w:line="276"/>
        <w:ind w:left="0" w:right="0" w:firstLine="709"/>
        <w:jc w:val="both"/>
        <w:rPr/>
      </w:pPr>
      <w:r>
        <w:rPr/>
        <w:t>Структуру СЭП КЧР;</w:t>
      </w:r>
    </w:p>
    <w:p>
      <w:pPr>
        <w:pStyle w:val="ConsPlusNormal"/>
        <w:numPr>
          <w:ilvl w:val="2"/>
          <w:numId w:val="7"/>
        </w:numPr>
        <w:tabs>
          <w:tab w:val="clear" w:pos="708"/>
          <w:tab w:val="left" w:pos="851" w:leader="none"/>
        </w:tabs>
        <w:spacing w:lineRule="auto" w:line="276"/>
        <w:ind w:left="0" w:right="0" w:firstLine="709"/>
        <w:jc w:val="both"/>
        <w:rPr/>
      </w:pPr>
      <w:r>
        <w:rPr/>
        <w:t>Порядок доступа к данным СЭП КЧР;</w:t>
      </w:r>
    </w:p>
    <w:p>
      <w:pPr>
        <w:pStyle w:val="ConsPlusNormal"/>
        <w:numPr>
          <w:ilvl w:val="2"/>
          <w:numId w:val="7"/>
        </w:numPr>
        <w:tabs>
          <w:tab w:val="clear" w:pos="708"/>
          <w:tab w:val="left" w:pos="851" w:leader="none"/>
        </w:tabs>
        <w:spacing w:lineRule="auto" w:line="276"/>
        <w:ind w:left="0" w:right="0" w:firstLine="709"/>
        <w:jc w:val="both"/>
        <w:rPr/>
      </w:pPr>
      <w:r>
        <w:rPr/>
        <w:t>Взаимосвязь с внешними системами.</w:t>
      </w:r>
    </w:p>
    <w:p>
      <w:pPr>
        <w:pStyle w:val="ConsPlusNormal"/>
        <w:widowControl w:val="false"/>
        <w:numPr>
          <w:ilvl w:val="0"/>
          <w:numId w:val="0"/>
        </w:numPr>
        <w:tabs>
          <w:tab w:val="clear" w:pos="708"/>
          <w:tab w:val="left" w:pos="225" w:leader="none"/>
          <w:tab w:val="left" w:pos="851" w:leader="none"/>
          <w:tab w:val="left" w:pos="9071" w:leader="none"/>
        </w:tabs>
        <w:bidi w:val="0"/>
        <w:spacing w:lineRule="auto" w:line="276" w:before="0" w:after="0"/>
        <w:ind w:right="0" w:hanging="0"/>
        <w:jc w:val="both"/>
        <w:rPr/>
      </w:pPr>
      <w:r>
        <w:rPr/>
        <w:tab/>
        <w:tab/>
        <w:t xml:space="preserve">СЭП КЧР представляет собой региональную государственную информационную систему Карачаево-Черкесской Республики, включающую информационные базы данных, в том числе содержащие сведения об используемых Участниками электронных сервисах, сведения об истории движения в СЭП КЧР электронных сообщений при предоставлении государственных и муниципальных услуг, исполнении государственных и муниципальных функций в электронной форме, а также программные и технические средства, обеспечивающие взаимодействие информационных систем Участников, используемых при предоставлении в электронной форме государственных имуниципальных услуг и исполнении государственных и муниципальных функций. </w:t>
      </w:r>
    </w:p>
    <w:p>
      <w:pPr>
        <w:pStyle w:val="ConsPlusNormal"/>
        <w:numPr>
          <w:ilvl w:val="1"/>
          <w:numId w:val="7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/>
      </w:pPr>
      <w:r>
        <w:rPr/>
        <w:t>Информация, размещаемая в СЭП КЧР, является государственным информационным ресурсом Карачаево-Черкесской Республики.</w:t>
      </w:r>
    </w:p>
    <w:p>
      <w:pPr>
        <w:pStyle w:val="ConsPlusNormal"/>
        <w:numPr>
          <w:ilvl w:val="1"/>
          <w:numId w:val="7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/>
      </w:pPr>
      <w:r>
        <w:rPr/>
        <w:t>Уполномоченным центральным исполнительным органом государственной власти Карачаево-Черкесской Республики, осуществляющим правом обладателя информации от имени Карачаево-Черкесской Республики, оператором СЭП КЧР, ответственным органом за обеспечение функций по созданию, развитию и эксплуатации (консультационная и техническая поддержка) является Министерство цифрового развития Карачаево-Черкесской Республики.</w:t>
      </w:r>
    </w:p>
    <w:p>
      <w:pPr>
        <w:pStyle w:val="ConsPlusNormal"/>
        <w:numPr>
          <w:ilvl w:val="1"/>
          <w:numId w:val="7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/>
      </w:pPr>
      <w:r>
        <w:rPr/>
        <w:t xml:space="preserve"> </w:t>
      </w:r>
      <w:r>
        <w:rPr/>
        <w:t>В целях настоящего положения используются следующие термины, их определения и сокращения:</w:t>
      </w:r>
    </w:p>
    <w:p>
      <w:pPr>
        <w:pStyle w:val="ConsPlusNormal"/>
        <w:tabs>
          <w:tab w:val="clear" w:pos="708"/>
          <w:tab w:val="left" w:pos="851" w:leader="none"/>
        </w:tabs>
        <w:spacing w:lineRule="auto" w:line="276"/>
        <w:ind w:left="0" w:firstLine="567"/>
        <w:jc w:val="both"/>
        <w:rPr/>
      </w:pPr>
      <w:r>
        <w:rPr/>
        <w:t>Участник СЭП КЧР (далее – Участник) - исполнительные органы государственной власти Карачаево-Черкесской Республики, государственные органы Карачаево-Черкесской Республики, органы местного самоуправления муниципальных образований Карачаево-Черкесской Республики, государственные и муниципальные учреждения, иные органы и организации, территориальные государственные внебюджетные фонды, осуществляющие предоставление государственных и муниципальных услуг и исполнение государственных и муниципальных функций в электронной форме;</w:t>
      </w:r>
    </w:p>
    <w:p>
      <w:pPr>
        <w:pStyle w:val="ConsPlusNormal"/>
        <w:tabs>
          <w:tab w:val="clear" w:pos="708"/>
          <w:tab w:val="left" w:pos="851" w:leader="none"/>
        </w:tabs>
        <w:spacing w:lineRule="auto" w:line="276"/>
        <w:ind w:left="0" w:firstLine="567"/>
        <w:jc w:val="both"/>
        <w:rPr/>
      </w:pPr>
      <w:r>
        <w:rPr/>
        <w:t>Оператор СЭП КЧР (далее – Оператор) - уполномоченный орган исполнительной власти Карачаево-Черкесской Республики, ответственный за создание, обеспечение функционирования и развитие СЭП КЧР;</w:t>
      </w:r>
    </w:p>
    <w:p>
      <w:pPr>
        <w:pStyle w:val="ConsPlusNormal"/>
        <w:numPr>
          <w:ilvl w:val="1"/>
          <w:numId w:val="7"/>
        </w:numPr>
        <w:tabs>
          <w:tab w:val="clear" w:pos="708"/>
          <w:tab w:val="left" w:pos="851" w:leader="none"/>
        </w:tabs>
        <w:spacing w:lineRule="auto" w:line="276"/>
        <w:ind w:left="0" w:firstLine="567"/>
        <w:jc w:val="both"/>
        <w:rPr/>
      </w:pPr>
      <w:r>
        <w:rPr/>
        <w:t xml:space="preserve">Определить Министерство цифрового развития Карачаево-Черкесской Республики, уполномоченным центральным исполнительным органом государственной власти Карачаево-Черкесской Республики на осуществление правомочий обладателя информации от имени Карачаево-Черкесской Республики, органом, ответственным за обеспечение функций по созданию, развитию и эксплуатации (консультационная и техническая поддержка), а также оператором СЭП КЧР. </w:t>
      </w:r>
    </w:p>
    <w:p>
      <w:pPr>
        <w:pStyle w:val="ConsPlusNormal"/>
        <w:numPr>
          <w:ilvl w:val="1"/>
          <w:numId w:val="7"/>
        </w:numPr>
        <w:tabs>
          <w:tab w:val="clear" w:pos="708"/>
          <w:tab w:val="left" w:pos="851" w:leader="none"/>
        </w:tabs>
        <w:spacing w:lineRule="auto" w:line="276"/>
        <w:ind w:left="0" w:firstLine="567"/>
        <w:jc w:val="both"/>
        <w:rPr/>
      </w:pPr>
      <w:r>
        <w:rPr/>
        <w:t>Информационная система Участника - информационная система, используемая в целях деятельности Участника по оказанию (исполнению) государственных или муниципальных услуг (функций) или содержащая сведения, требуемые для оказания (исполнения) государственных и муниципальных услуг (функций);</w:t>
      </w:r>
    </w:p>
    <w:p>
      <w:pPr>
        <w:pStyle w:val="ConsPlusNormal"/>
        <w:numPr>
          <w:ilvl w:val="1"/>
          <w:numId w:val="7"/>
        </w:numPr>
        <w:tabs>
          <w:tab w:val="clear" w:pos="708"/>
          <w:tab w:val="left" w:pos="851" w:leader="none"/>
        </w:tabs>
        <w:spacing w:lineRule="auto" w:line="276"/>
        <w:ind w:left="0" w:firstLine="567"/>
        <w:jc w:val="both"/>
        <w:rPr/>
      </w:pPr>
      <w:r>
        <w:rPr/>
        <w:t>Электронный сервис - программное обеспечение, реализующее документированный способ доступа к информационной системе, подключаемой к СЭП КЧР, отвечающее требованиям к формату электронных сервисов, установленных пунктом 5 Технических требований к взаимодействию информационных систем в единой системе межведомственного электронного взаимодействия, утвержденных приказом Министерства связи и массовых коммуникаций Российской Федерации от 27.12.2010 № 190 «Об утверждении технических требований к взаимодействию информационных систем в единой системе межведомственного электронного взаимодействия» (далее – Технические требования);</w:t>
      </w:r>
    </w:p>
    <w:p>
      <w:pPr>
        <w:pStyle w:val="ConsPlusNormal"/>
        <w:numPr>
          <w:ilvl w:val="1"/>
          <w:numId w:val="7"/>
        </w:numPr>
        <w:tabs>
          <w:tab w:val="clear" w:pos="708"/>
          <w:tab w:val="left" w:pos="851" w:leader="none"/>
        </w:tabs>
        <w:spacing w:lineRule="auto" w:line="276"/>
        <w:ind w:left="0" w:firstLine="567"/>
        <w:jc w:val="both"/>
        <w:rPr/>
      </w:pPr>
      <w:r>
        <w:rPr/>
        <w:t>Заявитель - физическое или юридическое лицо, обращающееся к Участнику для получения государственной или муниципальной услуги в электронной форме.</w:t>
      </w:r>
    </w:p>
    <w:p>
      <w:pPr>
        <w:pStyle w:val="ConsPlusTitle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spacing w:lineRule="auto" w:line="276"/>
        <w:jc w:val="center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lang w:val="en-US"/>
        </w:rPr>
        <w:t>II</w:t>
      </w:r>
      <w:r>
        <w:rPr>
          <w:rFonts w:cs="Times New Roman" w:ascii="Times New Roman" w:hAnsi="Times New Roman"/>
          <w:b w:val="false"/>
          <w:bCs w:val="false"/>
        </w:rPr>
        <w:t>. Цели, задачи и функции системы</w:t>
      </w:r>
    </w:p>
    <w:p>
      <w:pPr>
        <w:pStyle w:val="ConsPlusNormal"/>
        <w:numPr>
          <w:ilvl w:val="1"/>
          <w:numId w:val="1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/>
      </w:pPr>
      <w:r>
        <w:rPr/>
        <w:t>Целью создания СЭП КЧР является технологическое обеспечение информационного взаимодействия: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76"/>
        <w:ind w:hanging="0"/>
        <w:jc w:val="both"/>
        <w:rPr/>
      </w:pPr>
      <w:r>
        <w:rPr/>
        <w:tab/>
        <w:t>2.1.1. при предоставлении государственных и муниципальных услуг и исполнении государственных и муниципальных функций в электронной форме на территории Карачаево-Черкесской Республики;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76"/>
        <w:ind w:hanging="0"/>
        <w:jc w:val="both"/>
        <w:rPr/>
      </w:pPr>
      <w:r>
        <w:rPr/>
        <w:tab/>
        <w:t>2.1.2. в иных случаях, предусмотренных законодательством Российской Федерации.</w:t>
      </w:r>
    </w:p>
    <w:p>
      <w:pPr>
        <w:pStyle w:val="ConsPlusNormal"/>
        <w:numPr>
          <w:ilvl w:val="1"/>
          <w:numId w:val="1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/>
      </w:pPr>
      <w:r>
        <w:rPr/>
        <w:t>СЭП КЧР предназначена для решения следующих задач: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   2.2.1. обеспечение исполнения государственных и муниципальных функций в электронной форме;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2.2.2. обеспечение предоставления государственных и муниципальных услуг в электронной форме, в том числе с использованием универсальной электронной карты, федеральной государственной информационной системы «Единый портал государственных и муниципальных услуг (функций)» (далее – Единый портал), а также на базе многофункциональных центров предоставления государственных и муниципальных услуг;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2.2.3. обеспечение информационного взаимодействия в электронной форме при предоставлении государственных и муниципальных услуг и исполнении государственных и муниципальных функций;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2.2.4. обеспечение информационного взаимодействия с единой системой межведомственного электронного взаимодействия (далее - СМЭВ).</w:t>
      </w:r>
    </w:p>
    <w:p>
      <w:pPr>
        <w:pStyle w:val="ConsPlusNormal"/>
        <w:numPr>
          <w:ilvl w:val="1"/>
          <w:numId w:val="1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/>
      </w:pPr>
      <w:r>
        <w:rPr/>
        <w:t>Основными функциями СЭП КЧР являются: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2.3.1. обеспечение передачи запросов, иных документов и сведений, необходимых для получения государственных и муниципальных услуг и поданных заявителями через Единый портал, а также через многофункциональные центры предоставления государственных и муниципальных услуг Участникам, подключенным к СЭП КЧР, обязанным предоставлять испрашиваемые государственные (муниципальные) услуги;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2.3.2. обеспечение обмена электронными сообщениями между информационными системами Участников, подключенными к СЭП КЧР, при предоставлении государственных и муниципальных услуг и исполнении государственных и муниципальных функций;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2.3.3. обеспечение передачи в СМЭВ и на Единый портал запросов, иных документов и сведений, обработанных в информационных системах Участников, а также информации о ходе выполнения запросов о предоставлении государственных или муниципальных услуг и результатах их предоставления.</w:t>
      </w:r>
    </w:p>
    <w:p>
      <w:pPr>
        <w:pStyle w:val="ConsPlusNormal"/>
        <w:numPr>
          <w:ilvl w:val="1"/>
          <w:numId w:val="1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/>
      </w:pPr>
      <w:r>
        <w:rPr/>
        <w:t>В целях исполнения своих функций СЭП КЧР обеспечивает: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2.4.1. получение, обработку и доставку электронных сообщений в рамках информационного взаимодействия Участников с обеспечением фиксации времени передачи, целостности и подлинности, указания их авторства и возможности предоставления сведений, позволяющих проследить историю движения запросов и (или) ответов при предоставлении государственных и муниципальных услуг, исполнении государственных и муниципальных функций в электронной форме;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2.4.2. доступ к электронным сервисам информационных систем, подключенных к СЭП КЧР;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2.4.3. возможность использования централизованных баз данных и классификаторов информационными системами, подключенными к СЭП КЧР;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2.4.4. защиту передаваемой информации от несанкционированного доступа, ее искажения или блокирования с момента поступления указанной информации в СЭП КЧР до момента передачи ее в подключенную к СЭП КЧР информационную систему;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2.4.5. интеграцию со СМЭВ.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</w:r>
    </w:p>
    <w:p>
      <w:pPr>
        <w:pStyle w:val="ConsPlusNormal"/>
        <w:spacing w:lineRule="auto" w:line="276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lang w:val="en-US"/>
        </w:rPr>
        <w:t>III</w:t>
      </w:r>
      <w:r>
        <w:rPr>
          <w:b w:val="false"/>
          <w:bCs w:val="false"/>
        </w:rPr>
        <w:t>. Участники СЭП КЧР и их полномочия</w:t>
      </w:r>
    </w:p>
    <w:p>
      <w:pPr>
        <w:pStyle w:val="ConsPlusNormal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/>
      </w:pPr>
      <w:r>
        <w:rPr/>
        <w:t>Участниками СЭП КЧР являются: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3.1.1. Оператор СЭП КЧР;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3.1.2. Информационные системы Участников.</w:t>
      </w:r>
    </w:p>
    <w:p>
      <w:pPr>
        <w:pStyle w:val="ConsPlusNormal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/>
      </w:pPr>
      <w:r>
        <w:rPr/>
        <w:t>Оператор СЭП КЧР осуществляет: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3.2.1. обеспечение функционирования СЭП КЧР в соответствии с законодательством Российской Федерации в области информации, информационных технологий и защиты информации;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3.2.2. подключение информационных систем Участников к СЭП КЧР.</w:t>
      </w:r>
    </w:p>
    <w:p>
      <w:pPr>
        <w:pStyle w:val="ConsPlusNormal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/>
      </w:pPr>
      <w:r>
        <w:rPr/>
        <w:t>В целях осуществления информационного взаимодействия с использованием СЭП КЧР при предоставлении государственных и муниципальных услуг и исполнении государственных и муниципальных функций Участники:</w:t>
      </w:r>
    </w:p>
    <w:p>
      <w:pPr>
        <w:pStyle w:val="ConsPlusNormal"/>
        <w:widowControl w:val="false"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76" w:before="0" w:after="0"/>
        <w:ind w:left="57" w:right="0" w:hanging="0"/>
        <w:jc w:val="both"/>
        <w:rPr/>
      </w:pPr>
      <w:r>
        <w:rPr/>
        <w:t xml:space="preserve"> </w:t>
      </w:r>
      <w:r>
        <w:rPr/>
        <w:tab/>
        <w:t>3.3.1. осуществляют прием, обработку и передачу электронных сообщений с использованием СЭП КЧР;</w:t>
      </w:r>
    </w:p>
    <w:p>
      <w:pPr>
        <w:pStyle w:val="ConsPlusNormal"/>
        <w:widowControl w:val="false"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/>
        <w:t xml:space="preserve"> </w:t>
      </w:r>
      <w:r>
        <w:rPr/>
        <w:tab/>
        <w:t xml:space="preserve">3.3.2. обеспечивают достоверность информации, содержащейся в электронных сообщениях, передаваемых с использованием СЭП КЧР. </w:t>
      </w:r>
    </w:p>
    <w:p>
      <w:pPr>
        <w:pStyle w:val="ConsPlusNormal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/>
      </w:pPr>
      <w:r>
        <w:rPr/>
        <w:t>Порядок взаимодействия между Участниками и Оператором определяется соглашением, форма которого утверждается Оператором.</w:t>
      </w:r>
    </w:p>
    <w:p>
      <w:pPr>
        <w:pStyle w:val="ConsPlusNormal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/>
      </w:pPr>
      <w:r>
        <w:rPr/>
        <w:t>Информационные системы Участников должны соответствовать Техническим требованиям.</w:t>
      </w:r>
    </w:p>
    <w:p>
      <w:pPr>
        <w:pStyle w:val="ConsPlusNormal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/>
      </w:pPr>
      <w:r>
        <w:rPr/>
        <w:t> </w:t>
      </w:r>
      <w:r>
        <w:rPr/>
        <w:t>Использование СЭП КЧР Участниками, информационные системы которых подключены к СЭП КЧР, осуществляется на безвозмездной основе.</w:t>
      </w:r>
    </w:p>
    <w:p>
      <w:pPr>
        <w:pStyle w:val="ConsPlusNormal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/>
      </w:pPr>
      <w:r>
        <w:rPr/>
        <w:t>Доступ Участников к электронным сервисам для осуществления информационного взаимодействия через СЭП КЧР предоставляется для получения информации, содержание и объем которой необходимы для реализации полномочий, возложенных на Участников нормативными правовыми актами.</w:t>
      </w:r>
    </w:p>
    <w:p>
      <w:pPr>
        <w:pStyle w:val="ConsPlusNormal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/>
      </w:pPr>
      <w:r>
        <w:rPr/>
        <w:t>Технологическое обеспечение информационного взаимодействия Участников с применением СЭП КЧР достигается путем использования сервис-ориентированной архитектуры, представляющей собой совокупность электронных сервисов, построенных по общепринятым стандартам, а также путем использования единых технологических решений и стандартов, единых классификаторов и описаний структур данных.</w:t>
      </w:r>
    </w:p>
    <w:p>
      <w:pPr>
        <w:pStyle w:val="ConsPlusNormal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/>
      </w:pPr>
      <w:r>
        <w:rPr/>
        <w:t>Подключение Участников к СЭП КЧР возможно тремя способами (в том числе может использоваться любая комбинация указанных способов подключения): в автоматическом режиме с использованием программно-интегрируемого модуля, в режиме постоянного гарантированного доступа, в режиме периодического доступа.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276"/>
        <w:ind w:left="0" w:hanging="0"/>
        <w:jc w:val="both"/>
        <w:rPr/>
      </w:pPr>
      <w:r>
        <w:rPr/>
      </w:r>
    </w:p>
    <w:p>
      <w:pPr>
        <w:pStyle w:val="Normal"/>
        <w:spacing w:lineRule="auto" w:line="276" w:before="0" w:after="0"/>
        <w:jc w:val="center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>IV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 Сведения, включаемые в СЭП КЧР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134" w:leader="none"/>
        </w:tabs>
        <w:spacing w:lineRule="auto" w:line="276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СЭП КЧР содержит: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Каталог информационных систем Участников взаимодействия и видов сведений, в том числе: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4.1.1. наименование Участника;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4.1.2. наименование информационной системы Участника;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4.1.3. мнемонику информационной системы Участника;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4.1.4. сертификат информационной системы Участника;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4.1.5. наименование вида сведений;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 xml:space="preserve"> </w:t>
      </w:r>
      <w:r>
        <w:rPr/>
        <w:tab/>
        <w:t>4.1.6. схему вида сведений;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Информацию об электронных межведомственных запросах (URN вида сведений, идентификатор запроса и т.д.).</w:t>
      </w:r>
    </w:p>
    <w:p>
      <w:pPr>
        <w:pStyle w:val="ConsPlusNormal"/>
        <w:spacing w:lineRule="auto" w:line="276"/>
        <w:ind w:firstLine="709"/>
        <w:jc w:val="both"/>
        <w:rPr/>
      </w:pPr>
      <w:r>
        <w:rPr/>
        <w:t>Электронные сообщения, содержащие сведения, составляющие государственную тайну, не подлежат обработке в СЭП КЧР.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>V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 Структура СЭП КЧР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134" w:leader="none"/>
        </w:tabs>
        <w:spacing w:lineRule="auto" w:line="276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состав СЭП КЧР входят следующие компоненты:</w:t>
      </w:r>
    </w:p>
    <w:p>
      <w:pPr>
        <w:pStyle w:val="ConsPlusNormal"/>
        <w:widowControl w:val="false"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/>
        <w:t xml:space="preserve"> </w:t>
      </w:r>
      <w:r>
        <w:rPr/>
        <w:tab/>
        <w:t>5.1.1. Система модулей и компонентов, обеспечивающих функции администрирования и настройки СЭП КЧР: модуль администрирования, модуль настройки услуг, модуль ведения справочников, модуль авторизации и аутентификации, компонент «Конструктор форм заявлений на получение услуг».</w:t>
      </w:r>
    </w:p>
    <w:p>
      <w:pPr>
        <w:pStyle w:val="ConsPlusNormal"/>
        <w:widowControl w:val="false"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/>
        <w:t xml:space="preserve"> </w:t>
      </w:r>
      <w:r>
        <w:rPr/>
        <w:tab/>
        <w:t>5.1.2. Система модулей и компонентов, обеспечивающих взаимодействие с СМЭВ: модуль взаимодействия по федеральным видам сведений, модуль взаимодействия по региональным видам сведений, модуль взаимодействия с ЕГР ЗАГС, компонент «Обмен внутри региональными сведениями».</w:t>
      </w:r>
    </w:p>
    <w:p>
      <w:pPr>
        <w:pStyle w:val="ConsPlusNormal"/>
        <w:widowControl w:val="false"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76" w:before="0" w:after="0"/>
        <w:ind w:left="57" w:right="0" w:hanging="0"/>
        <w:jc w:val="both"/>
        <w:rPr/>
      </w:pPr>
      <w:r>
        <w:rPr/>
        <w:t xml:space="preserve"> </w:t>
      </w:r>
      <w:r>
        <w:rPr/>
        <w:tab/>
        <w:t>5.1.3. Система модулей и компонентов, обеспечивающих оказание региональных государственных и муниципальных услуг: модуль предоставления государственных и муниципальных услуг, модуль РПГУ, компонент «Реестр государственных и муниципальных услуг», компонент «Взаимодействия с ЕПГУ», компонент «Оказания государственных и муниципальных услуг в электронной форме».</w:t>
      </w:r>
    </w:p>
    <w:p>
      <w:pPr>
        <w:pStyle w:val="ConsPlusNormal"/>
        <w:widowControl w:val="false"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76" w:before="0" w:after="0"/>
        <w:ind w:left="57" w:right="0" w:hanging="0"/>
        <w:jc w:val="both"/>
        <w:rPr/>
      </w:pPr>
      <w:r>
        <w:rPr/>
        <w:t xml:space="preserve"> </w:t>
      </w:r>
      <w:r>
        <w:rPr/>
        <w:tab/>
        <w:t>5.1.4. Компоненты мониторинга и аналитики данных: компонент «Реестр заявителей», компонент «Аналитики».</w:t>
      </w:r>
    </w:p>
    <w:p>
      <w:pPr>
        <w:pStyle w:val="ConsPlusNormal"/>
        <w:widowControl w:val="false"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/>
        <w:t xml:space="preserve"> </w:t>
      </w:r>
      <w:r>
        <w:rPr/>
        <w:tab/>
        <w:t>5.1.5. Компонент «Универсальная региональная витрина данных» (далее – УРВД).</w:t>
      </w:r>
    </w:p>
    <w:p>
      <w:pPr>
        <w:pStyle w:val="ConsPlusNormal"/>
        <w:widowControl w:val="false"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/>
        <w:tab/>
        <w:t>5.1.6. Компонент ETL, обеспечивающий возможность загрузки, трансформации и выгрузки данных в УРВД из информационных систем Участников.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349" w:hanging="0"/>
        <w:jc w:val="both"/>
        <w:rPr/>
      </w:pPr>
      <w:r>
        <w:rPr/>
        <w:tab/>
        <w:t>5.1.7. Компонент «Регистр населения Карачаево-Черкесской Республики».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>VI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 Доступ к данным СЭП КЧР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Доступ к данным СЭП КЧР осуществляется с использованием учетной записи пользователя. Создание учетной записи пользователя осуществляется на основании заявки, направленной Оператору СЭП КЧР в электронном формате посредством СЭД «Дело» или на официальную электронную почту, подписанной руководителем ведомства или учреждения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spacing w:lineRule="auto" w:line="276" w:before="240" w:after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lang w:val="en-US"/>
        </w:rPr>
        <w:t>VII</w:t>
      </w:r>
      <w:r>
        <w:rPr>
          <w:b w:val="false"/>
          <w:bCs w:val="false"/>
        </w:rPr>
        <w:t>. Взаимосвязь с внешними системами</w:t>
      </w:r>
    </w:p>
    <w:p>
      <w:pPr>
        <w:pStyle w:val="ConsPlusNormal"/>
        <w:numPr>
          <w:ilvl w:val="1"/>
          <w:numId w:val="6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/>
      </w:pPr>
      <w:r>
        <w:rPr/>
        <w:t>Информационные системы исполнительных органов государственной власти Карачаево-Черкесской Республики, используемые при предоставлении государственных услуг и исполнении государственных функций исполнительными органами государственной власти Карачаево-Черкесской Республики, информационные системы государственных органов Карачаево-Черкесской Республики, государственных учреждений и других организаций, располагающих информацией, необходимой для предоставления государственных услуг и исполнения государственных функций, требующих межведомственного информационного взаимодействия, подлежат подключению к СЭП КЧР на основании присоединения к регламенту обеспечения предоставления государственных услуг и исполнения государственных функций в электронном виде от 30.05.2013 Министерства цифрового развития, связи и массовых коммуникаций Российской Федерации (далее – Регламент).</w:t>
      </w:r>
    </w:p>
    <w:p>
      <w:pPr>
        <w:pStyle w:val="ConsPlusNormal"/>
        <w:numPr>
          <w:ilvl w:val="1"/>
          <w:numId w:val="6"/>
        </w:numPr>
        <w:tabs>
          <w:tab w:val="clear" w:pos="708"/>
          <w:tab w:val="left" w:pos="1134" w:leader="none"/>
        </w:tabs>
        <w:spacing w:lineRule="auto" w:line="276" w:before="120" w:after="120"/>
        <w:ind w:left="0" w:firstLine="567"/>
        <w:jc w:val="both"/>
        <w:rPr/>
      </w:pPr>
      <w:r>
        <w:rPr/>
        <w:t>Взаимодействие Участников с федеральными органами исполнительной власти, органами исполнительной власти иных субъектов Российской Федерации осуществляется посредством подключения СЭП КЧР к СМЭВ в соответствии с Техническими требованиями.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276" w:before="120" w:after="120"/>
        <w:ind w:left="0" w:firstLine="567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urier New"/>
          <w:bCs/>
          <w:color w:val="000000"/>
          <w:sz w:val="24"/>
          <w:szCs w:val="24"/>
          <w:lang w:bidi="ru-RU"/>
        </w:rPr>
      </w:pPr>
      <w:r>
        <w:rPr>
          <w:rFonts w:eastAsia="Courier New" w:ascii="Times New Roman" w:hAnsi="Times New Roman"/>
          <w:bCs/>
          <w:color w:val="000000"/>
          <w:sz w:val="24"/>
          <w:szCs w:val="24"/>
          <w:lang w:bidi="ru-RU"/>
        </w:rPr>
        <w:t xml:space="preserve">Заместитель Руководителя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urier New"/>
          <w:bCs/>
          <w:color w:val="000000"/>
          <w:sz w:val="24"/>
          <w:szCs w:val="24"/>
          <w:lang w:bidi="ru-RU"/>
        </w:rPr>
      </w:pPr>
      <w:r>
        <w:rPr>
          <w:rFonts w:eastAsia="Courier New" w:ascii="Times New Roman" w:hAnsi="Times New Roman"/>
          <w:bCs/>
          <w:color w:val="000000"/>
          <w:sz w:val="24"/>
          <w:szCs w:val="24"/>
          <w:lang w:bidi="ru-RU"/>
        </w:rPr>
        <w:t xml:space="preserve">Администрации Главы и Правительства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urier New"/>
          <w:bCs/>
          <w:color w:val="000000"/>
          <w:sz w:val="24"/>
          <w:szCs w:val="24"/>
          <w:lang w:bidi="ru-RU"/>
        </w:rPr>
      </w:pPr>
      <w:r>
        <w:rPr>
          <w:rFonts w:eastAsia="Courier New" w:ascii="Times New Roman" w:hAnsi="Times New Roman"/>
          <w:bCs/>
          <w:color w:val="000000"/>
          <w:sz w:val="24"/>
          <w:szCs w:val="24"/>
          <w:lang w:bidi="ru-RU"/>
        </w:rPr>
        <w:t xml:space="preserve">Карачаево-Черкесской Республики,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urier New"/>
          <w:bCs/>
          <w:color w:val="000000"/>
          <w:sz w:val="24"/>
          <w:szCs w:val="24"/>
          <w:lang w:bidi="ru-RU"/>
        </w:rPr>
      </w:pPr>
      <w:r>
        <w:rPr>
          <w:rFonts w:eastAsia="Courier New" w:ascii="Times New Roman" w:hAnsi="Times New Roman"/>
          <w:bCs/>
          <w:color w:val="000000"/>
          <w:sz w:val="24"/>
          <w:szCs w:val="24"/>
          <w:lang w:bidi="ru-RU"/>
        </w:rPr>
        <w:t xml:space="preserve">Начальник Управления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urier New"/>
          <w:bCs/>
          <w:color w:val="000000"/>
          <w:sz w:val="24"/>
          <w:szCs w:val="24"/>
          <w:lang w:bidi="ru-RU"/>
        </w:rPr>
      </w:pPr>
      <w:r>
        <w:rPr>
          <w:rFonts w:eastAsia="Courier New" w:ascii="Times New Roman" w:hAnsi="Times New Roman"/>
          <w:bCs/>
          <w:color w:val="000000"/>
          <w:sz w:val="24"/>
          <w:szCs w:val="24"/>
          <w:lang w:bidi="ru-RU"/>
        </w:rPr>
        <w:t xml:space="preserve">документационного обеспечения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urier New"/>
          <w:bCs/>
          <w:color w:val="000000"/>
          <w:sz w:val="24"/>
          <w:szCs w:val="24"/>
          <w:lang w:bidi="ru-RU"/>
        </w:rPr>
      </w:pPr>
      <w:r>
        <w:rPr>
          <w:rFonts w:eastAsia="Courier New" w:ascii="Times New Roman" w:hAnsi="Times New Roman"/>
          <w:bCs/>
          <w:color w:val="000000"/>
          <w:sz w:val="24"/>
          <w:szCs w:val="24"/>
          <w:lang w:bidi="ru-RU"/>
        </w:rPr>
        <w:t xml:space="preserve">Главы и Правительства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urier New"/>
          <w:bCs/>
          <w:color w:val="000000"/>
          <w:sz w:val="24"/>
          <w:szCs w:val="24"/>
          <w:lang w:bidi="ru-RU"/>
        </w:rPr>
      </w:pPr>
      <w:r>
        <w:rPr>
          <w:rFonts w:eastAsia="Courier New" w:ascii="Times New Roman" w:hAnsi="Times New Roman"/>
          <w:bCs/>
          <w:color w:val="000000"/>
          <w:sz w:val="24"/>
          <w:szCs w:val="24"/>
          <w:lang w:bidi="ru-RU"/>
        </w:rPr>
        <w:t>Карачаево-Черкесской Республики</w:t>
        <w:tab/>
        <w:tab/>
        <w:tab/>
        <w:tab/>
        <w:tab/>
        <w:t>Ф.Я. Астежева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urier New"/>
          <w:bCs/>
          <w:color w:val="000000"/>
          <w:sz w:val="24"/>
          <w:szCs w:val="24"/>
          <w:lang w:bidi="ru-RU"/>
        </w:rPr>
      </w:pPr>
      <w:r>
        <w:rPr>
          <w:rFonts w:eastAsia="Courier New" w:ascii="Times New Roman" w:hAnsi="Times New Roman"/>
          <w:bCs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urier New"/>
          <w:bCs/>
          <w:color w:val="000000"/>
          <w:sz w:val="24"/>
          <w:szCs w:val="24"/>
          <w:lang w:bidi="ru-RU"/>
        </w:rPr>
      </w:pPr>
      <w:r>
        <w:rPr>
          <w:rFonts w:eastAsia="Courier New" w:ascii="Times New Roman" w:hAnsi="Times New Roman"/>
          <w:bCs/>
          <w:color w:val="000000"/>
          <w:sz w:val="24"/>
          <w:szCs w:val="24"/>
          <w:lang w:bidi="ru-RU"/>
        </w:rPr>
        <w:t>Министр цифрового развития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urier New"/>
          <w:bCs/>
          <w:color w:val="000000"/>
          <w:sz w:val="24"/>
          <w:szCs w:val="24"/>
          <w:lang w:bidi="ru-RU"/>
        </w:rPr>
      </w:pPr>
      <w:r>
        <w:rPr>
          <w:rFonts w:eastAsia="Courier New" w:ascii="Times New Roman" w:hAnsi="Times New Roman"/>
          <w:bCs/>
          <w:color w:val="000000"/>
          <w:sz w:val="24"/>
          <w:szCs w:val="24"/>
          <w:lang w:bidi="ru-RU"/>
        </w:rPr>
        <w:t>Карачаево-Черкесской Республики</w:t>
        <w:tab/>
        <w:tab/>
        <w:tab/>
        <w:tab/>
        <w:tab/>
        <w:t xml:space="preserve"> В.В. Медовый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76" w:before="120" w:after="120"/>
        <w:ind w:left="0" w:firstLine="567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2.%1."/>
      <w:lvlJc w:val="left"/>
      <w:pPr>
        <w:tabs>
          <w:tab w:val="num" w:pos="0"/>
        </w:tabs>
        <w:ind w:left="2138" w:hanging="36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2.%1."/>
      <w:lvlJc w:val="left"/>
      <w:pPr>
        <w:tabs>
          <w:tab w:val="num" w:pos="0"/>
        </w:tabs>
        <w:ind w:left="2138" w:hanging="36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4.%1."/>
      <w:lvlJc w:val="left"/>
      <w:pPr>
        <w:tabs>
          <w:tab w:val="num" w:pos="0"/>
        </w:tabs>
        <w:ind w:left="2520" w:hanging="360"/>
      </w:pPr>
    </w:lvl>
    <w:lvl w:ilvl="1">
      <w:start w:val="1"/>
      <w:numFmt w:val="decimal"/>
      <w:lvlText w:val="4.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">
    <w:lvl w:ilvl="0">
      <w:start w:val="1"/>
      <w:numFmt w:val="decimal"/>
      <w:lvlText w:val="5.%1."/>
      <w:lvlJc w:val="left"/>
      <w:pPr>
        <w:tabs>
          <w:tab w:val="num" w:pos="0"/>
        </w:tabs>
        <w:ind w:left="2520" w:hanging="360"/>
      </w:pPr>
    </w:lvl>
    <w:lvl w:ilvl="1">
      <w:start w:val="1"/>
      <w:numFmt w:val="decimal"/>
      <w:lvlText w:val="5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6.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6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7.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7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1532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610b1c"/>
    <w:rPr>
      <w:color w:val="0563C1" w:themeColor="hyperlink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9f7ad7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32320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8"/>
    <w:uiPriority w:val="99"/>
    <w:semiHidden/>
    <w:qFormat/>
    <w:rsid w:val="00232320"/>
    <w:rPr>
      <w:sz w:val="20"/>
      <w:szCs w:val="20"/>
    </w:rPr>
  </w:style>
  <w:style w:type="character" w:styleId="Style17" w:customStyle="1">
    <w:name w:val="Тема примечания Знак"/>
    <w:basedOn w:val="Style16"/>
    <w:link w:val="aa"/>
    <w:uiPriority w:val="99"/>
    <w:semiHidden/>
    <w:qFormat/>
    <w:rsid w:val="00232320"/>
    <w:rPr>
      <w:b/>
      <w:bCs/>
      <w:sz w:val="20"/>
      <w:szCs w:val="20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Droid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 w:customStyle="1">
    <w:name w:val="ConsPlusNormal"/>
    <w:qFormat/>
    <w:rsid w:val="00ff152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ff1525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94a1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9f7ad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a9"/>
    <w:uiPriority w:val="99"/>
    <w:semiHidden/>
    <w:unhideWhenUsed/>
    <w:qFormat/>
    <w:rsid w:val="0023232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b"/>
    <w:uiPriority w:val="99"/>
    <w:semiHidden/>
    <w:unhideWhenUsed/>
    <w:qFormat/>
    <w:rsid w:val="0023232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AC36-7EEB-4234-9063-F61DAD74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5938</TotalTime>
  <Application>LibreOffice/7.0.6.2$Linux_X86_64 LibreOffice_project/00$Build-2</Application>
  <AppVersion>15.0000</AppVersion>
  <Pages>6</Pages>
  <Words>1507</Words>
  <Characters>12160</Characters>
  <CharactersWithSpaces>13639</CharactersWithSpaces>
  <Paragraphs>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2026-04-23T07:53:00Z</dcterms:created>
  <dc:creator>Боцманов Андрей Юрьевич</dc:creator>
  <dc:description/>
  <dc:language>ru-RU</dc:language>
  <cp:lastModifiedBy/>
  <cp:lastPrinted>2026-04-27T14:50:00Z</cp:lastPrinted>
  <dcterms:modified xsi:type="dcterms:W3CDTF">2026-05-21T17:19:51Z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